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9A" w:rsidRPr="005D5D04" w:rsidRDefault="00FB589A" w:rsidP="00FB589A">
      <w:pPr>
        <w:autoSpaceDE/>
        <w:autoSpaceDN/>
        <w:jc w:val="center"/>
        <w:rPr>
          <w:kern w:val="0"/>
        </w:rPr>
      </w:pPr>
      <w:r w:rsidRPr="005D5D04">
        <w:rPr>
          <w:noProof/>
          <w:kern w:val="0"/>
          <w:sz w:val="20"/>
          <w:szCs w:val="20"/>
        </w:rPr>
        <w:drawing>
          <wp:inline distT="0" distB="0" distL="0" distR="0" wp14:anchorId="244A0717" wp14:editId="46FEB075">
            <wp:extent cx="396734" cy="507073"/>
            <wp:effectExtent l="0" t="0" r="3810" b="762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3" cy="50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04">
        <w:rPr>
          <w:kern w:val="0"/>
        </w:rPr>
        <w:t xml:space="preserve"> </w:t>
      </w:r>
    </w:p>
    <w:p w:rsidR="00FB589A" w:rsidRPr="005D5D04" w:rsidRDefault="00FB589A" w:rsidP="00FB589A">
      <w:pPr>
        <w:autoSpaceDE/>
        <w:autoSpaceDN/>
        <w:jc w:val="center"/>
        <w:rPr>
          <w:b/>
          <w:kern w:val="0"/>
        </w:rPr>
      </w:pPr>
      <w:r w:rsidRPr="005D5D04">
        <w:rPr>
          <w:b/>
          <w:kern w:val="0"/>
        </w:rPr>
        <w:t>Администрация</w:t>
      </w:r>
    </w:p>
    <w:p w:rsidR="00FB589A" w:rsidRPr="005D5D04" w:rsidRDefault="00FB589A" w:rsidP="00FB589A">
      <w:pPr>
        <w:autoSpaceDE/>
        <w:autoSpaceDN/>
        <w:jc w:val="center"/>
        <w:rPr>
          <w:b/>
          <w:kern w:val="0"/>
        </w:rPr>
      </w:pPr>
      <w:r>
        <w:rPr>
          <w:b/>
          <w:kern w:val="0"/>
        </w:rPr>
        <w:t xml:space="preserve"> Ромашкинского сельского поселения</w:t>
      </w:r>
    </w:p>
    <w:p w:rsidR="00FB589A" w:rsidRPr="005D5D04" w:rsidRDefault="00FB589A" w:rsidP="00FB589A">
      <w:pPr>
        <w:autoSpaceDE/>
        <w:autoSpaceDN/>
        <w:jc w:val="center"/>
        <w:rPr>
          <w:b/>
          <w:kern w:val="0"/>
        </w:rPr>
      </w:pPr>
      <w:r>
        <w:rPr>
          <w:b/>
          <w:kern w:val="0"/>
        </w:rPr>
        <w:t xml:space="preserve"> Приозерского муниципального</w:t>
      </w:r>
      <w:r w:rsidRPr="005D5D04">
        <w:rPr>
          <w:b/>
          <w:kern w:val="0"/>
        </w:rPr>
        <w:t xml:space="preserve"> район</w:t>
      </w:r>
      <w:r>
        <w:rPr>
          <w:b/>
          <w:kern w:val="0"/>
        </w:rPr>
        <w:t>а</w:t>
      </w:r>
      <w:r w:rsidRPr="005D5D04">
        <w:rPr>
          <w:b/>
          <w:kern w:val="0"/>
        </w:rPr>
        <w:t xml:space="preserve"> </w:t>
      </w:r>
    </w:p>
    <w:p w:rsidR="00FB589A" w:rsidRPr="005D5D04" w:rsidRDefault="00FB589A" w:rsidP="00FB589A">
      <w:pPr>
        <w:autoSpaceDE/>
        <w:autoSpaceDN/>
        <w:jc w:val="center"/>
        <w:rPr>
          <w:b/>
          <w:kern w:val="0"/>
        </w:rPr>
      </w:pPr>
      <w:r w:rsidRPr="005D5D04">
        <w:rPr>
          <w:b/>
          <w:kern w:val="0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FB589A" w:rsidRPr="005D5D04" w:rsidTr="00132059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B589A" w:rsidRPr="005D5D04" w:rsidRDefault="00FB589A" w:rsidP="00132059">
            <w:pPr>
              <w:autoSpaceDE/>
              <w:autoSpaceDN/>
              <w:jc w:val="center"/>
              <w:rPr>
                <w:b/>
                <w:kern w:val="0"/>
                <w:sz w:val="6"/>
                <w:szCs w:val="6"/>
              </w:rPr>
            </w:pPr>
          </w:p>
        </w:tc>
      </w:tr>
    </w:tbl>
    <w:p w:rsidR="00FB589A" w:rsidRPr="005D5D04" w:rsidRDefault="00FB589A" w:rsidP="00FB589A">
      <w:pPr>
        <w:autoSpaceDE/>
        <w:autoSpaceDN/>
        <w:jc w:val="center"/>
        <w:rPr>
          <w:b/>
          <w:kern w:val="0"/>
          <w:sz w:val="16"/>
        </w:rPr>
      </w:pPr>
    </w:p>
    <w:p w:rsidR="00FB589A" w:rsidRPr="005D5D04" w:rsidRDefault="00FB589A" w:rsidP="00FB589A">
      <w:pPr>
        <w:autoSpaceDE/>
        <w:autoSpaceDN/>
        <w:jc w:val="center"/>
        <w:rPr>
          <w:b/>
          <w:kern w:val="0"/>
          <w:sz w:val="28"/>
        </w:rPr>
      </w:pPr>
      <w:proofErr w:type="gramStart"/>
      <w:r w:rsidRPr="005D5D04">
        <w:rPr>
          <w:b/>
          <w:kern w:val="0"/>
          <w:sz w:val="28"/>
        </w:rPr>
        <w:t>П</w:t>
      </w:r>
      <w:proofErr w:type="gramEnd"/>
      <w:r w:rsidRPr="005D5D04">
        <w:rPr>
          <w:b/>
          <w:kern w:val="0"/>
          <w:sz w:val="28"/>
        </w:rPr>
        <w:t xml:space="preserve"> О С Т А Н О В Л Е Н И Е</w:t>
      </w:r>
      <w:r w:rsidRPr="005D5D04">
        <w:rPr>
          <w:kern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FB589A" w:rsidRDefault="00FB589A" w:rsidP="00FB589A">
      <w:pPr>
        <w:autoSpaceDE/>
        <w:autoSpaceDN/>
        <w:rPr>
          <w:kern w:val="0"/>
        </w:rPr>
      </w:pPr>
      <w:r>
        <w:rPr>
          <w:kern w:val="0"/>
        </w:rPr>
        <w:t xml:space="preserve">   </w:t>
      </w:r>
    </w:p>
    <w:p w:rsidR="00FB589A" w:rsidRDefault="00FB589A" w:rsidP="00FB589A">
      <w:pPr>
        <w:autoSpaceDE/>
        <w:autoSpaceDN/>
        <w:rPr>
          <w:kern w:val="0"/>
        </w:rPr>
      </w:pPr>
    </w:p>
    <w:p w:rsidR="00FB589A" w:rsidRPr="005D5D04" w:rsidRDefault="00FB589A" w:rsidP="00FB589A">
      <w:pPr>
        <w:autoSpaceDE/>
        <w:autoSpaceDN/>
        <w:rPr>
          <w:kern w:val="0"/>
        </w:rPr>
      </w:pPr>
      <w:r>
        <w:rPr>
          <w:kern w:val="0"/>
        </w:rPr>
        <w:t xml:space="preserve"> от  16 января 2026г </w:t>
      </w:r>
      <w:r w:rsidRPr="005D5D04">
        <w:rPr>
          <w:kern w:val="0"/>
        </w:rPr>
        <w:t xml:space="preserve">                                                                         </w:t>
      </w:r>
      <w:r>
        <w:rPr>
          <w:kern w:val="0"/>
        </w:rPr>
        <w:t xml:space="preserve">                            № 9</w:t>
      </w:r>
      <w:r w:rsidRPr="005D5D04">
        <w:rPr>
          <w:kern w:val="0"/>
        </w:rPr>
        <w:t xml:space="preserve">                           </w:t>
      </w:r>
    </w:p>
    <w:p w:rsidR="00FB589A" w:rsidRPr="005D5D04" w:rsidRDefault="00FB589A" w:rsidP="00FB589A">
      <w:pPr>
        <w:autoSpaceDE/>
        <w:autoSpaceDN/>
        <w:rPr>
          <w:kern w:val="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B589A" w:rsidRPr="005D5D04" w:rsidTr="00132059">
        <w:tc>
          <w:tcPr>
            <w:tcW w:w="9606" w:type="dxa"/>
            <w:hideMark/>
          </w:tcPr>
          <w:p w:rsidR="00FB589A" w:rsidRPr="005D5D04" w:rsidRDefault="00FB589A" w:rsidP="00132059">
            <w:pPr>
              <w:autoSpaceDE/>
              <w:autoSpaceDN/>
              <w:ind w:left="720"/>
              <w:jc w:val="center"/>
              <w:rPr>
                <w:b/>
                <w:kern w:val="0"/>
              </w:rPr>
            </w:pPr>
            <w:r w:rsidRPr="005B152C">
              <w:rPr>
                <w:b/>
                <w:kern w:val="0"/>
              </w:rPr>
              <w:t xml:space="preserve"> «</w:t>
            </w:r>
            <w:r w:rsidRPr="005B152C">
              <w:rPr>
                <w:b/>
              </w:rPr>
              <w:t xml:space="preserve">О стоимости одного квадратного метра общей площади жилья на сельских территориях на </w:t>
            </w:r>
            <w:r w:rsidRPr="005B152C">
              <w:rPr>
                <w:b/>
                <w:lang w:val="en-US"/>
              </w:rPr>
              <w:t>I</w:t>
            </w:r>
            <w:r w:rsidRPr="005B152C">
              <w:rPr>
                <w:b/>
              </w:rPr>
              <w:t xml:space="preserve"> </w:t>
            </w:r>
            <w:r>
              <w:rPr>
                <w:b/>
              </w:rPr>
              <w:t>квартал 2026</w:t>
            </w:r>
            <w:r w:rsidRPr="005B152C">
              <w:rPr>
                <w:b/>
              </w:rPr>
              <w:t xml:space="preserve"> года по </w:t>
            </w:r>
            <w:proofErr w:type="spellStart"/>
            <w:r w:rsidRPr="005B152C">
              <w:rPr>
                <w:b/>
              </w:rPr>
              <w:t>Ромашкинскому</w:t>
            </w:r>
            <w:proofErr w:type="spellEnd"/>
            <w:r w:rsidRPr="005B152C">
              <w:rPr>
                <w:b/>
              </w:rPr>
              <w:t xml:space="preserve"> сельскому поселению Приозерского муниципального района Ленинградской области</w:t>
            </w:r>
          </w:p>
        </w:tc>
      </w:tr>
    </w:tbl>
    <w:p w:rsidR="00FB589A" w:rsidRDefault="00FB589A" w:rsidP="00FB589A">
      <w:r>
        <w:t xml:space="preserve">       </w:t>
      </w:r>
    </w:p>
    <w:p w:rsidR="00FB589A" w:rsidRPr="00BA50CD" w:rsidRDefault="00FB589A" w:rsidP="00FB589A">
      <w:pPr>
        <w:tabs>
          <w:tab w:val="left" w:pos="0"/>
        </w:tabs>
        <w:jc w:val="both"/>
      </w:pPr>
      <w:r>
        <w:rPr>
          <w:color w:val="000000"/>
        </w:rPr>
        <w:tab/>
      </w:r>
      <w:r w:rsidRPr="00B23E28">
        <w:rPr>
          <w:color w:val="000000"/>
        </w:rPr>
        <w:t xml:space="preserve">В целях реализации на территории Ленинградской </w:t>
      </w:r>
      <w:r w:rsidRPr="003953B3">
        <w:rPr>
          <w:color w:val="000000"/>
        </w:rPr>
        <w:t>области</w:t>
      </w:r>
      <w:r>
        <w:rPr>
          <w:color w:val="000000"/>
        </w:rPr>
        <w:t xml:space="preserve">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</w:t>
      </w:r>
      <w:r w:rsidRPr="003953B3">
        <w:rPr>
          <w:color w:val="000000"/>
        </w:rPr>
        <w:t>,</w:t>
      </w:r>
      <w:r w:rsidRPr="00B23E28">
        <w:rPr>
          <w:color w:val="000000"/>
        </w:rPr>
        <w:t xml:space="preserve"> руководствуясь </w:t>
      </w:r>
      <w:r w:rsidRPr="000D6DA0">
        <w:t xml:space="preserve">приказом Министерства строительства и жилищно-коммунального хозяйства Российской Федерации от </w:t>
      </w:r>
      <w:r>
        <w:rPr>
          <w:kern w:val="0"/>
        </w:rPr>
        <w:t xml:space="preserve"> 08.12.2025г. № 777/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>
        <w:rPr>
          <w:kern w:val="0"/>
        </w:rPr>
        <w:t xml:space="preserve"> «О нормативе стоимости одного </w:t>
      </w:r>
      <w:proofErr w:type="gramStart"/>
      <w:r>
        <w:rPr>
          <w:kern w:val="0"/>
        </w:rPr>
        <w:t xml:space="preserve">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kern w:val="0"/>
          <w:lang w:val="en-US"/>
        </w:rPr>
        <w:t>I</w:t>
      </w:r>
      <w:r w:rsidRPr="00F837FF">
        <w:rPr>
          <w:kern w:val="0"/>
        </w:rPr>
        <w:t xml:space="preserve"> </w:t>
      </w:r>
      <w:r>
        <w:rPr>
          <w:kern w:val="0"/>
        </w:rPr>
        <w:t>квартал 2026 года»</w:t>
      </w:r>
      <w:r w:rsidRPr="000D6DA0">
        <w:t>,</w:t>
      </w:r>
      <w:r>
        <w:t xml:space="preserve"> м</w:t>
      </w:r>
      <w:r w:rsidRPr="00BA50CD">
        <w:t>етодическими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</w:t>
      </w:r>
      <w:proofErr w:type="gramEnd"/>
      <w:r w:rsidRPr="00BA50CD">
        <w:t xml:space="preserve"> </w:t>
      </w:r>
      <w:proofErr w:type="gramStart"/>
      <w:r w:rsidRPr="00BA50CD">
        <w:t xml:space="preserve">сельских территориях Ленинградской области, утвержденными  распоряжением Комитета по строительству  Ленинградской области от </w:t>
      </w:r>
      <w:r>
        <w:t>31.01.2024</w:t>
      </w:r>
      <w:r w:rsidRPr="00BA50CD">
        <w:t xml:space="preserve"> года № </w:t>
      </w:r>
      <w:r>
        <w:t>131</w:t>
      </w:r>
      <w:r w:rsidRPr="00BA50CD"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</w:t>
      </w:r>
      <w:proofErr w:type="gramEnd"/>
      <w:r w:rsidRPr="00BA50CD">
        <w:t xml:space="preserve"> </w:t>
      </w:r>
      <w:proofErr w:type="gramStart"/>
      <w:r w:rsidRPr="00BA50CD">
        <w:t>жильем и коммунальными услугами граждан Российской Федерации» и «Комплексное развитие сельских территорий»</w:t>
      </w:r>
      <w:r>
        <w:t>,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</w:t>
      </w:r>
      <w:r w:rsidRPr="00CD126E">
        <w:t xml:space="preserve">, Уставом </w:t>
      </w:r>
      <w:r>
        <w:t xml:space="preserve">Ромашкинского </w:t>
      </w:r>
      <w:r w:rsidRPr="00CD126E">
        <w:t>сельско</w:t>
      </w:r>
      <w:r>
        <w:t>го</w:t>
      </w:r>
      <w:r w:rsidRPr="00CD126E">
        <w:t xml:space="preserve"> поселени</w:t>
      </w:r>
      <w:r>
        <w:t>я</w:t>
      </w:r>
      <w:r w:rsidRPr="00CD126E">
        <w:t>, администрация</w:t>
      </w:r>
      <w:r w:rsidRPr="00B23E28">
        <w:t xml:space="preserve"> </w:t>
      </w:r>
      <w:r>
        <w:t>Ромашкинского</w:t>
      </w:r>
      <w:r w:rsidRPr="00B23E28">
        <w:t xml:space="preserve"> сельско</w:t>
      </w:r>
      <w:r>
        <w:t>го</w:t>
      </w:r>
      <w:r w:rsidRPr="00B23E28">
        <w:t xml:space="preserve"> поселени</w:t>
      </w:r>
      <w:r>
        <w:t>я</w:t>
      </w:r>
      <w:r w:rsidRPr="00B23E28">
        <w:t xml:space="preserve"> Приозерск</w:t>
      </w:r>
      <w:r>
        <w:t>ого</w:t>
      </w:r>
      <w:r w:rsidRPr="00B23E28">
        <w:t xml:space="preserve"> муниципальн</w:t>
      </w:r>
      <w:r>
        <w:t>ого</w:t>
      </w:r>
      <w:r w:rsidRPr="00B23E28">
        <w:t xml:space="preserve"> район</w:t>
      </w:r>
      <w:r>
        <w:t>а</w:t>
      </w:r>
      <w:r w:rsidRPr="00B23E28">
        <w:t xml:space="preserve"> Ленинградской области  ПОСТАНОВЛЯЕТ:</w:t>
      </w:r>
      <w:r w:rsidRPr="00BA50CD">
        <w:t xml:space="preserve"> </w:t>
      </w:r>
      <w:proofErr w:type="gramEnd"/>
    </w:p>
    <w:p w:rsidR="00FB589A" w:rsidRDefault="00FB589A" w:rsidP="00FB589A">
      <w:pPr>
        <w:tabs>
          <w:tab w:val="left" w:pos="-3060"/>
        </w:tabs>
        <w:jc w:val="both"/>
        <w:rPr>
          <w:color w:val="000000"/>
        </w:rPr>
      </w:pPr>
      <w:r>
        <w:t xml:space="preserve">          1. </w:t>
      </w:r>
      <w:proofErr w:type="gramStart"/>
      <w:r>
        <w:t xml:space="preserve">«Утвердить стоимость одного квадратного метра общей площади жилья на сельских территориях </w:t>
      </w:r>
      <w:r>
        <w:rPr>
          <w:color w:val="000000"/>
        </w:rPr>
        <w:t xml:space="preserve">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по </w:t>
      </w:r>
      <w:proofErr w:type="spellStart"/>
      <w:r>
        <w:rPr>
          <w:color w:val="000000"/>
        </w:rPr>
        <w:t>Ромашкинскому</w:t>
      </w:r>
      <w:proofErr w:type="spellEnd"/>
      <w:r>
        <w:rPr>
          <w:color w:val="000000"/>
        </w:rPr>
        <w:t xml:space="preserve"> сельскому поселению Приозерского </w:t>
      </w:r>
      <w:r>
        <w:rPr>
          <w:color w:val="000000"/>
        </w:rPr>
        <w:lastRenderedPageBreak/>
        <w:t xml:space="preserve">муниципального района </w:t>
      </w:r>
      <w:r>
        <w:t>Ленинградской области</w:t>
      </w:r>
      <w:proofErr w:type="gramEnd"/>
      <w:r>
        <w:rPr>
          <w:color w:val="000000"/>
        </w:rPr>
        <w:t xml:space="preserve"> на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квартал 2026 года </w:t>
      </w:r>
      <w:r>
        <w:t xml:space="preserve">в размере </w:t>
      </w:r>
      <w:r>
        <w:rPr>
          <w:color w:val="000000"/>
        </w:rPr>
        <w:t>102 505,7 (сто две тысячи пятьсот пять) рублей 70 коп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согласно Приложения № 1.</w:t>
      </w:r>
    </w:p>
    <w:p w:rsidR="00FB589A" w:rsidRPr="007B76D9" w:rsidRDefault="00FB589A" w:rsidP="00FB589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76D9"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7B7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Ромашкинского</w:t>
      </w:r>
      <w:r w:rsidRPr="006D6D59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7B76D9">
        <w:rPr>
          <w:rFonts w:ascii="Times New Roman" w:hAnsi="Times New Roman" w:cs="Times New Roman"/>
          <w:sz w:val="24"/>
          <w:szCs w:val="24"/>
        </w:rPr>
        <w:t>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7B76D9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7B76D9"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 w:rsidRPr="007B76D9"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 w:rsidRPr="007B76D9"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 w:rsidRPr="007B76D9"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589A" w:rsidRDefault="00FB589A" w:rsidP="00FB589A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B589A" w:rsidRDefault="00FB589A" w:rsidP="00FB589A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B589A" w:rsidRDefault="00FB589A" w:rsidP="00FB589A">
      <w:pPr>
        <w:tabs>
          <w:tab w:val="left" w:pos="-3060"/>
        </w:tabs>
        <w:ind w:left="709"/>
        <w:jc w:val="both"/>
      </w:pPr>
    </w:p>
    <w:p w:rsidR="00FB589A" w:rsidRDefault="00FB589A" w:rsidP="00FB589A">
      <w:pPr>
        <w:tabs>
          <w:tab w:val="left" w:pos="-3060"/>
        </w:tabs>
        <w:ind w:left="709"/>
        <w:jc w:val="both"/>
      </w:pPr>
    </w:p>
    <w:p w:rsidR="00FB589A" w:rsidRDefault="00FB589A" w:rsidP="00FB589A">
      <w:pPr>
        <w:jc w:val="both"/>
      </w:pPr>
    </w:p>
    <w:p w:rsidR="00FB589A" w:rsidRDefault="00FB589A" w:rsidP="00FB589A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FB589A" w:rsidRDefault="00FB589A" w:rsidP="00FB589A">
      <w:pPr>
        <w:ind w:firstLine="540"/>
        <w:jc w:val="both"/>
      </w:pPr>
    </w:p>
    <w:p w:rsidR="00FB589A" w:rsidRDefault="00FB589A" w:rsidP="00FB589A">
      <w:pPr>
        <w:ind w:firstLine="540"/>
        <w:jc w:val="both"/>
      </w:pPr>
    </w:p>
    <w:p w:rsidR="00FB589A" w:rsidRDefault="00FB589A" w:rsidP="00FB589A">
      <w:pPr>
        <w:ind w:firstLine="540"/>
        <w:jc w:val="both"/>
      </w:pPr>
    </w:p>
    <w:p w:rsidR="00FB589A" w:rsidRDefault="00FB589A" w:rsidP="00FB589A">
      <w:pPr>
        <w:ind w:firstLine="540"/>
        <w:jc w:val="both"/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</w:p>
    <w:p w:rsidR="00FB589A" w:rsidRDefault="00FB589A" w:rsidP="00FB589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FB589A" w:rsidRDefault="00FB589A" w:rsidP="00FB589A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FB589A" w:rsidRDefault="00FB589A" w:rsidP="00FB589A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FB589A" w:rsidRDefault="00FB589A" w:rsidP="00FB589A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FB589A" w:rsidRDefault="00FB589A" w:rsidP="00FB589A">
      <w:pPr>
        <w:jc w:val="right"/>
        <w:rPr>
          <w:sz w:val="20"/>
          <w:szCs w:val="20"/>
        </w:rPr>
      </w:pPr>
      <w:r w:rsidRPr="006D6D59">
        <w:rPr>
          <w:sz w:val="20"/>
          <w:szCs w:val="20"/>
        </w:rPr>
        <w:t>Ромашкинского сельского поселения</w:t>
      </w:r>
    </w:p>
    <w:p w:rsidR="00FB589A" w:rsidRDefault="00FB589A" w:rsidP="00FB589A">
      <w:pPr>
        <w:jc w:val="right"/>
        <w:rPr>
          <w:sz w:val="20"/>
          <w:szCs w:val="20"/>
        </w:rPr>
      </w:pPr>
      <w:r w:rsidRPr="006D6D59">
        <w:rPr>
          <w:sz w:val="20"/>
          <w:szCs w:val="20"/>
        </w:rPr>
        <w:t>Приозерского муниципального района</w:t>
      </w:r>
    </w:p>
    <w:p w:rsidR="00FB589A" w:rsidRDefault="00FB589A" w:rsidP="00FB589A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FB589A" w:rsidRDefault="00FB589A" w:rsidP="00FB589A">
      <w:pPr>
        <w:jc w:val="right"/>
        <w:rPr>
          <w:sz w:val="20"/>
          <w:szCs w:val="20"/>
        </w:rPr>
      </w:pPr>
      <w:r>
        <w:rPr>
          <w:sz w:val="20"/>
          <w:szCs w:val="20"/>
        </w:rPr>
        <w:t>от 16.01.2026 года № 9</w:t>
      </w:r>
    </w:p>
    <w:p w:rsidR="00FB589A" w:rsidRDefault="00FB589A" w:rsidP="00FB589A">
      <w:pPr>
        <w:jc w:val="right"/>
        <w:rPr>
          <w:sz w:val="20"/>
          <w:szCs w:val="20"/>
        </w:rPr>
      </w:pPr>
    </w:p>
    <w:p w:rsidR="00FB589A" w:rsidRDefault="00FB589A" w:rsidP="00FB589A">
      <w:pPr>
        <w:jc w:val="center"/>
      </w:pPr>
      <w:r>
        <w:t>РАСЧЕТ</w:t>
      </w:r>
    </w:p>
    <w:p w:rsidR="00FB589A" w:rsidRDefault="00FB589A" w:rsidP="00FB589A">
      <w:pPr>
        <w:jc w:val="center"/>
      </w:pPr>
      <w:r>
        <w:t xml:space="preserve">стоимости 1 кв. метра общей площади жилья на сельских территориях на </w:t>
      </w:r>
      <w:r>
        <w:rPr>
          <w:lang w:val="en-US"/>
        </w:rPr>
        <w:t>I</w:t>
      </w:r>
      <w:r>
        <w:t xml:space="preserve"> квартал 2026 года по </w:t>
      </w:r>
      <w:proofErr w:type="spellStart"/>
      <w:r>
        <w:t>Ромашкинскому</w:t>
      </w:r>
      <w:proofErr w:type="spellEnd"/>
      <w:r>
        <w:rPr>
          <w:b/>
          <w:i/>
        </w:rPr>
        <w:t xml:space="preserve"> </w:t>
      </w:r>
      <w:r>
        <w:t>сельскому поселению Приозерского муниципального района Ленинградской области»</w:t>
      </w:r>
    </w:p>
    <w:p w:rsidR="00FB589A" w:rsidRDefault="00FB589A" w:rsidP="00FB589A">
      <w:pPr>
        <w:rPr>
          <w:b/>
        </w:rPr>
      </w:pPr>
    </w:p>
    <w:p w:rsidR="00FB589A" w:rsidRDefault="00FB589A" w:rsidP="00FB589A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FB589A" w:rsidRDefault="00FB589A" w:rsidP="00FB589A">
      <w:pPr>
        <w:jc w:val="both"/>
        <w:rPr>
          <w:b/>
        </w:rPr>
      </w:pPr>
    </w:p>
    <w:p w:rsidR="00FB589A" w:rsidRPr="00D34CE9" w:rsidRDefault="00FB589A" w:rsidP="00FB589A">
      <w:pPr>
        <w:jc w:val="both"/>
        <w:rPr>
          <w:b/>
        </w:rPr>
      </w:pPr>
      <w:r>
        <w:rPr>
          <w:b/>
        </w:rPr>
        <w:t xml:space="preserve">Ст. дог. – </w:t>
      </w: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_дог</w:t>
      </w:r>
      <w:proofErr w:type="spellEnd"/>
      <w:r>
        <w:rPr>
          <w:b/>
        </w:rPr>
        <w:t xml:space="preserve">=4 900 000/62,1=78 905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по данным  Сосновского сельского поселения (по </w:t>
      </w:r>
      <w:proofErr w:type="spellStart"/>
      <w:r>
        <w:rPr>
          <w:b/>
        </w:rPr>
        <w:t>Ромашкинскому</w:t>
      </w:r>
      <w:proofErr w:type="spellEnd"/>
      <w:r>
        <w:rPr>
          <w:b/>
        </w:rPr>
        <w:t xml:space="preserve"> СП сведения отсутствуют)</w:t>
      </w:r>
    </w:p>
    <w:p w:rsidR="00FB589A" w:rsidRPr="00D34CE9" w:rsidRDefault="00FB589A" w:rsidP="00FB589A">
      <w:pPr>
        <w:jc w:val="both"/>
        <w:rPr>
          <w:b/>
        </w:rPr>
      </w:pPr>
    </w:p>
    <w:p w:rsidR="00FB589A" w:rsidRPr="00D34CE9" w:rsidRDefault="00FB589A" w:rsidP="00FB589A">
      <w:pPr>
        <w:jc w:val="both"/>
      </w:pPr>
      <w:r w:rsidRPr="00D34CE9">
        <w:t>- мероприятие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FB589A" w:rsidRPr="00D34CE9" w:rsidRDefault="00FB589A" w:rsidP="00FB589A">
      <w:pPr>
        <w:jc w:val="both"/>
      </w:pPr>
    </w:p>
    <w:p w:rsidR="00FB589A" w:rsidRPr="00D34CE9" w:rsidRDefault="00FB589A" w:rsidP="00FB589A">
      <w:pPr>
        <w:jc w:val="both"/>
      </w:pPr>
      <w:r>
        <w:t>Смирнова Л.В., стоимость 4 900 000,00 руб., площадь 62,1</w:t>
      </w:r>
      <w:r w:rsidRPr="00D34CE9">
        <w:t xml:space="preserve"> </w:t>
      </w:r>
      <w:proofErr w:type="spellStart"/>
      <w:r w:rsidRPr="00D34CE9">
        <w:t>кв.м</w:t>
      </w:r>
      <w:proofErr w:type="spellEnd"/>
      <w:r w:rsidRPr="00D34CE9">
        <w:t>.</w:t>
      </w:r>
    </w:p>
    <w:p w:rsidR="00FB589A" w:rsidRDefault="00FB589A" w:rsidP="00FB589A">
      <w:pPr>
        <w:jc w:val="both"/>
        <w:rPr>
          <w:b/>
        </w:rPr>
      </w:pPr>
    </w:p>
    <w:p w:rsidR="00FB589A" w:rsidRDefault="00FB589A" w:rsidP="00FB589A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FB589A" w:rsidRDefault="00FB589A" w:rsidP="00FB589A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FB589A" w:rsidRDefault="00FB589A" w:rsidP="00FB589A">
      <w:pPr>
        <w:jc w:val="both"/>
        <w:rPr>
          <w:b/>
        </w:rPr>
      </w:pPr>
    </w:p>
    <w:p w:rsidR="00FB589A" w:rsidRDefault="00FB589A" w:rsidP="00FB589A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FB589A" w:rsidRPr="006D129E" w:rsidRDefault="00FB589A" w:rsidP="00FB589A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156 758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:rsidR="00FB589A" w:rsidRDefault="00FB589A" w:rsidP="00FB589A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(174 063,45+139 452,21)/2  = </w:t>
      </w:r>
      <w:r>
        <w:rPr>
          <w:b/>
        </w:rPr>
        <w:t xml:space="preserve">156 758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FB589A" w:rsidRDefault="00FB589A" w:rsidP="00FB589A">
      <w:pPr>
        <w:autoSpaceDE/>
        <w:jc w:val="both"/>
        <w:rPr>
          <w:kern w:val="0"/>
        </w:rPr>
      </w:pPr>
    </w:p>
    <w:p w:rsidR="00FB589A" w:rsidRDefault="00FB589A" w:rsidP="00FB589A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174 063,45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FB589A" w:rsidRDefault="00FB589A" w:rsidP="00FB589A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139 452,21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FB589A" w:rsidRDefault="00FB589A" w:rsidP="00FB589A">
      <w:pPr>
        <w:rPr>
          <w:sz w:val="20"/>
          <w:szCs w:val="20"/>
        </w:rPr>
      </w:pPr>
    </w:p>
    <w:p w:rsidR="00FB589A" w:rsidRDefault="00FB589A" w:rsidP="00FB589A">
      <w:pPr>
        <w:rPr>
          <w:b/>
        </w:rPr>
      </w:pPr>
      <w:r>
        <w:rPr>
          <w:b/>
          <w:u w:val="single"/>
        </w:rPr>
        <w:t>2 этап</w:t>
      </w:r>
    </w:p>
    <w:p w:rsidR="00FB589A" w:rsidRDefault="00FB589A" w:rsidP="00FB589A">
      <w:pPr>
        <w:autoSpaceDE/>
        <w:rPr>
          <w:b/>
          <w:kern w:val="0"/>
        </w:rPr>
      </w:pPr>
    </w:p>
    <w:p w:rsidR="00FB589A" w:rsidRDefault="00FB589A" w:rsidP="00FB589A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FB589A" w:rsidRDefault="00FB589A" w:rsidP="00FB589A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FB589A" w:rsidRDefault="00FB589A" w:rsidP="00FB589A">
      <w:pPr>
        <w:rPr>
          <w:b/>
        </w:rPr>
      </w:pPr>
    </w:p>
    <w:p w:rsidR="00FB589A" w:rsidRDefault="00FB589A" w:rsidP="00FB589A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>
        <w:rPr>
          <w:b/>
          <w:u w:val="single"/>
        </w:rPr>
        <w:t>78 905</w:t>
      </w:r>
      <w:r w:rsidRPr="00D34CE9">
        <w:rPr>
          <w:b/>
          <w:u w:val="single"/>
        </w:rPr>
        <w:t>*0,92+ 81</w:t>
      </w:r>
      <w:r>
        <w:rPr>
          <w:b/>
          <w:u w:val="single"/>
        </w:rPr>
        <w:t xml:space="preserve"> 000,00 * 0,92 + 156 758  </w:t>
      </w:r>
      <w:r>
        <w:rPr>
          <w:b/>
        </w:rPr>
        <w:t>=  101 290,2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FB589A" w:rsidRDefault="00FB589A" w:rsidP="00FB589A">
      <w:pPr>
        <w:rPr>
          <w:b/>
        </w:rPr>
      </w:pPr>
      <w:r>
        <w:rPr>
          <w:b/>
        </w:rPr>
        <w:t xml:space="preserve">                                                     3             </w:t>
      </w:r>
    </w:p>
    <w:p w:rsidR="00FB589A" w:rsidRDefault="00FB589A" w:rsidP="00FB589A">
      <w:pPr>
        <w:rPr>
          <w:b/>
          <w:u w:val="single"/>
        </w:rPr>
      </w:pPr>
    </w:p>
    <w:p w:rsidR="00FB589A" w:rsidRDefault="00FB589A" w:rsidP="00FB589A">
      <w:pPr>
        <w:rPr>
          <w:b/>
        </w:rPr>
      </w:pPr>
      <w:r>
        <w:rPr>
          <w:b/>
          <w:u w:val="single"/>
        </w:rPr>
        <w:t>3 этап</w:t>
      </w:r>
    </w:p>
    <w:p w:rsidR="00FB589A" w:rsidRDefault="00FB589A" w:rsidP="00FB589A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FB589A" w:rsidRDefault="00FB589A" w:rsidP="00FB589A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FB589A" w:rsidRDefault="00FB589A" w:rsidP="00FB589A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1,012</w:t>
      </w:r>
    </w:p>
    <w:p w:rsidR="00FB589A" w:rsidRDefault="00FB589A" w:rsidP="00FB589A"/>
    <w:p w:rsidR="00FB589A" w:rsidRDefault="00FB589A" w:rsidP="00FB589A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101 290,2 * 1,012= 102 505,7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FB589A" w:rsidRDefault="00FB589A" w:rsidP="00FB589A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102 505,7 руб./кв.</w:t>
      </w:r>
    </w:p>
    <w:p w:rsidR="00FB589A" w:rsidRDefault="00FB589A" w:rsidP="00FB589A">
      <w:pPr>
        <w:rPr>
          <w:b/>
          <w:u w:val="single"/>
        </w:rPr>
      </w:pPr>
    </w:p>
    <w:p w:rsidR="00FB589A" w:rsidRDefault="00FB589A" w:rsidP="00FB589A"/>
    <w:p w:rsidR="00FB589A" w:rsidRDefault="00FB589A" w:rsidP="00FB589A"/>
    <w:p w:rsidR="00FB589A" w:rsidRPr="00DD23E9" w:rsidRDefault="00FB589A" w:rsidP="00FB589A">
      <w:pPr>
        <w:widowControl w:val="0"/>
        <w:tabs>
          <w:tab w:val="left" w:pos="-3060"/>
        </w:tabs>
        <w:adjustRightInd w:val="0"/>
        <w:jc w:val="both"/>
      </w:pPr>
    </w:p>
    <w:p w:rsidR="00FB589A" w:rsidRDefault="00FB589A" w:rsidP="00FB589A">
      <w:pPr>
        <w:rPr>
          <w:b/>
          <w:sz w:val="22"/>
        </w:rPr>
      </w:pPr>
      <w:r w:rsidRPr="003D3B8E">
        <w:rPr>
          <w:b/>
          <w:sz w:val="22"/>
        </w:rPr>
        <w:t>Показатели стоимости одного квадратного метра общей площади жилья</w:t>
      </w:r>
      <w:r>
        <w:rPr>
          <w:b/>
          <w:sz w:val="22"/>
        </w:rPr>
        <w:t xml:space="preserve"> на сельских территориях на 2026</w:t>
      </w:r>
      <w:r w:rsidRPr="003D3B8E">
        <w:rPr>
          <w:b/>
          <w:sz w:val="22"/>
        </w:rPr>
        <w:t xml:space="preserve"> год</w:t>
      </w:r>
    </w:p>
    <w:p w:rsidR="00FB589A" w:rsidRDefault="00FB589A" w:rsidP="00FB589A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695"/>
        <w:gridCol w:w="1273"/>
        <w:gridCol w:w="1276"/>
        <w:gridCol w:w="992"/>
        <w:gridCol w:w="992"/>
        <w:gridCol w:w="567"/>
        <w:gridCol w:w="1134"/>
      </w:tblGrid>
      <w:tr w:rsidR="00FB589A" w:rsidTr="00132059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общей площади жилья на сельских территориях на 1 квартал 2026 года</w:t>
            </w:r>
          </w:p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FB589A" w:rsidTr="00132059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FB589A" w:rsidTr="00132059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16.01.2026г.</w:t>
            </w:r>
          </w:p>
          <w:p w:rsidR="00FB589A" w:rsidRDefault="00FB589A" w:rsidP="001320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102 505,7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101 290,2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78 905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9A" w:rsidRDefault="00FB589A" w:rsidP="001320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156 758</w:t>
            </w:r>
          </w:p>
        </w:tc>
      </w:tr>
    </w:tbl>
    <w:p w:rsidR="00FB589A" w:rsidRDefault="00FB589A" w:rsidP="00FB589A"/>
    <w:p w:rsidR="00BE528E" w:rsidRDefault="00BE528E">
      <w:bookmarkStart w:id="0" w:name="_GoBack"/>
      <w:bookmarkEnd w:id="0"/>
    </w:p>
    <w:sectPr w:rsidR="00BE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14"/>
    <w:rsid w:val="00225514"/>
    <w:rsid w:val="00BE528E"/>
    <w:rsid w:val="00FB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B589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B589A"/>
    <w:rPr>
      <w:color w:val="0000FF"/>
      <w:u w:val="single"/>
    </w:rPr>
  </w:style>
  <w:style w:type="paragraph" w:customStyle="1" w:styleId="msobodytextmrcssattr">
    <w:name w:val="msobodytext_mr_css_attr"/>
    <w:basedOn w:val="a"/>
    <w:rsid w:val="00FB589A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FB5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89A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B589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B589A"/>
    <w:rPr>
      <w:color w:val="0000FF"/>
      <w:u w:val="single"/>
    </w:rPr>
  </w:style>
  <w:style w:type="paragraph" w:customStyle="1" w:styleId="msobodytextmrcssattr">
    <w:name w:val="msobodytext_mr_css_attr"/>
    <w:basedOn w:val="a"/>
    <w:rsid w:val="00FB589A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FB5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89A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2026-01-19T09:10:00Z</dcterms:created>
  <dcterms:modified xsi:type="dcterms:W3CDTF">2026-01-19T09:10:00Z</dcterms:modified>
</cp:coreProperties>
</file>